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20" w:firstLineChars="0"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供应商入驻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宁波大学科学技术学院</w:t>
      </w:r>
      <w:r>
        <w:rPr>
          <w:rFonts w:hint="eastAsia" w:ascii="微软雅黑" w:hAnsi="微软雅黑" w:eastAsia="微软雅黑"/>
          <w:sz w:val="32"/>
          <w:szCs w:val="32"/>
        </w:rPr>
        <w:t>云采购平台申请表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sz w:val="20"/>
          <w:szCs w:val="20"/>
        </w:rPr>
      </w:pPr>
    </w:p>
    <w:tbl>
      <w:tblPr>
        <w:tblStyle w:val="10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940"/>
        <w:gridCol w:w="1275"/>
        <w:gridCol w:w="3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shd w:val="clear" w:color="auto" w:fill="C7DAF1" w:themeFill="text2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企业基本情况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企业名称</w:t>
            </w:r>
          </w:p>
        </w:tc>
        <w:tc>
          <w:tcPr>
            <w:tcW w:w="74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注册地址</w:t>
            </w:r>
          </w:p>
        </w:tc>
        <w:tc>
          <w:tcPr>
            <w:tcW w:w="74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营业执照注册日期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注册资金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法定代表人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联系人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联系人电话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通讯地址</w:t>
            </w:r>
          </w:p>
        </w:tc>
        <w:tc>
          <w:tcPr>
            <w:tcW w:w="294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固定电话</w:t>
            </w:r>
          </w:p>
        </w:tc>
        <w:tc>
          <w:tcPr>
            <w:tcW w:w="3261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企业纳税类型</w:t>
            </w:r>
          </w:p>
        </w:tc>
        <w:tc>
          <w:tcPr>
            <w:tcW w:w="74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□一般纳税人          □小规模纳税人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企业适用税率</w:t>
            </w:r>
          </w:p>
        </w:tc>
        <w:tc>
          <w:tcPr>
            <w:tcW w:w="7476" w:type="dxa"/>
            <w:gridSpan w:val="3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□增值税专用/普通(1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%)     □增值税专用/普通(3%)</w:t>
            </w:r>
          </w:p>
          <w:p>
            <w:pPr>
              <w:pStyle w:val="1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i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□增值税专用/普通(6%)      □其他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企业身份类别</w:t>
            </w:r>
          </w:p>
        </w:tc>
        <w:tc>
          <w:tcPr>
            <w:tcW w:w="74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□原厂商     □国内独家代理     □区域总代理商     □行业代理商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□其他类别经销商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30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实体店或仓储/办公场所</w:t>
            </w:r>
          </w:p>
        </w:tc>
        <w:tc>
          <w:tcPr>
            <w:tcW w:w="7476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□否    □有 </w:t>
            </w:r>
            <w:r>
              <w:rPr>
                <w:rFonts w:ascii="微软雅黑" w:hAnsi="微软雅黑" w:eastAsia="微软雅黑"/>
                <w:szCs w:val="21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Cs w:val="21"/>
              </w:rPr>
              <w:t>面积：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平方米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地址：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                                             </w:t>
            </w:r>
            <w:r>
              <w:rPr>
                <w:rFonts w:ascii="微软雅黑" w:hAnsi="微软雅黑" w:eastAsia="微软雅黑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企业资质</w:t>
            </w:r>
          </w:p>
        </w:tc>
        <w:tc>
          <w:tcPr>
            <w:tcW w:w="7476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□营业执照  □一般纳税人证明  □品牌代理授权书 □银行开户许可证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□法人身份证  □危险化学品经营许可证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shd w:val="clear" w:color="auto" w:fill="C7DAF1" w:themeFill="text2" w:themeFillTint="32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申请入驻商品情况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申请品目类别</w:t>
            </w:r>
          </w:p>
        </w:tc>
        <w:tc>
          <w:tcPr>
            <w:tcW w:w="7476" w:type="dxa"/>
            <w:gridSpan w:val="3"/>
            <w:vAlign w:val="center"/>
          </w:tcPr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</w:p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</w:rPr>
              <w:t>包件一：低值设备、仪器、仪表、教具、器械</w:t>
            </w:r>
          </w:p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</w:rPr>
              <w:t>包件二：低值工具、量具、器皿、标本模型</w:t>
            </w:r>
          </w:p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</w:rPr>
              <w:t>包件三：低值文艺用品、体育用品</w:t>
            </w:r>
          </w:p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</w:rPr>
              <w:t>包件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  <w:szCs w:val="21"/>
              </w:rPr>
              <w:t>：低值行政办公设备、劳保用品</w:t>
            </w:r>
          </w:p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/>
                <w:szCs w:val="21"/>
              </w:rPr>
              <w:t>包件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/>
                <w:szCs w:val="21"/>
              </w:rPr>
              <w:t>：生物化学试剂及实验室基础耗材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</w:rPr>
              <w:t>列入国家易制毒易燃易爆品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精神药品、麻醉药品除外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</w:p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</w:p>
          <w:p>
            <w:pPr>
              <w:pStyle w:val="17"/>
              <w:adjustRightInd w:val="0"/>
              <w:snapToGrid w:val="0"/>
              <w:ind w:left="567" w:firstLine="0" w:firstLineChars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产品与企业关系证明</w:t>
            </w:r>
          </w:p>
        </w:tc>
        <w:tc>
          <w:tcPr>
            <w:tcW w:w="7476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请提供相关证明材料，若是原厂商则提供商标、著作权等权属证明；若是代理商和经销商，提供原厂商授权函（若未能取得原厂商授权，属原厂代理商授权的，则还需提供该代理商获得原厂商的授权证明文件），均需注明代理产品系列、行业或区域；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企业售后服务能力介绍</w:t>
            </w:r>
          </w:p>
        </w:tc>
        <w:tc>
          <w:tcPr>
            <w:tcW w:w="7476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请对企业的售后服务能力、分支机构，主要服务方式和服务标准给出描述：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配送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费用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配送时间和联络情况表</w:t>
            </w:r>
          </w:p>
          <w:tbl>
            <w:tblPr>
              <w:tblStyle w:val="9"/>
              <w:tblpPr w:leftFromText="180" w:rightFromText="180" w:vertAnchor="text" w:horzAnchor="margin" w:tblpY="1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9"/>
              <w:gridCol w:w="2196"/>
              <w:gridCol w:w="21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配送费</w:t>
                  </w:r>
                </w:p>
              </w:tc>
              <w:tc>
                <w:tcPr>
                  <w:tcW w:w="2196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本部</w:t>
                  </w:r>
                  <w:r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  <w:t>校区</w:t>
                  </w:r>
                </w:p>
              </w:tc>
              <w:tc>
                <w:tcPr>
                  <w:tcW w:w="2168" w:type="dxa"/>
                </w:tcPr>
                <w:p>
                  <w:pPr>
                    <w:adjustRightInd w:val="0"/>
                    <w:snapToGrid w:val="0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  <w:lang w:val="en-US" w:eastAsia="zh-CN"/>
                    </w:rPr>
                    <w:t>周巷校区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3" w:hRule="atLeast"/>
              </w:trPr>
              <w:tc>
                <w:tcPr>
                  <w:tcW w:w="2349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基础运费（列明运费金额、续重运费单价）</w:t>
                  </w:r>
                </w:p>
              </w:tc>
              <w:tc>
                <w:tcPr>
                  <w:tcW w:w="2196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168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免运费（列明如多少元订单金额以内、多少Kg以内免运费）</w:t>
                  </w:r>
                </w:p>
              </w:tc>
              <w:tc>
                <w:tcPr>
                  <w:tcW w:w="2196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168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接收订单后，配送至用户指定地点的时间</w:t>
                  </w:r>
                </w:p>
              </w:tc>
              <w:tc>
                <w:tcPr>
                  <w:tcW w:w="2196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168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49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非工作日是否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正常配送（填写“是”或“否”）</w:t>
                  </w:r>
                </w:p>
              </w:tc>
              <w:tc>
                <w:tcPr>
                  <w:tcW w:w="2196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168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我方（是/否）设立专门管理人员及服务热线提供对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宁波大学科学技术学院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的服务。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附 ： 售后服务联系人：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行业案例与服务介绍</w:t>
            </w:r>
          </w:p>
        </w:tc>
        <w:tc>
          <w:tcPr>
            <w:tcW w:w="7476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近三年高校、科研单位供货与服务证明，一般为合同、或验收报告，第三方提供的市场占有率数据等信息：</w:t>
            </w:r>
          </w:p>
          <w:tbl>
            <w:tblPr>
              <w:tblStyle w:val="9"/>
              <w:tblpPr w:leftFromText="180" w:rightFromText="180" w:vertAnchor="text" w:horzAnchor="margin" w:tblpY="17"/>
              <w:tblOverlap w:val="never"/>
              <w:tblW w:w="70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702"/>
              <w:gridCol w:w="716"/>
              <w:gridCol w:w="992"/>
              <w:gridCol w:w="709"/>
              <w:gridCol w:w="992"/>
              <w:gridCol w:w="1276"/>
              <w:gridCol w:w="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0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项目名称</w:t>
                  </w:r>
                </w:p>
              </w:tc>
              <w:tc>
                <w:tcPr>
                  <w:tcW w:w="716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项目类型</w:t>
                  </w: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数量及金额</w:t>
                  </w:r>
                </w:p>
              </w:tc>
              <w:tc>
                <w:tcPr>
                  <w:tcW w:w="709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采购单位</w:t>
                  </w: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采购方联系人</w:t>
                  </w:r>
                </w:p>
              </w:tc>
              <w:tc>
                <w:tcPr>
                  <w:tcW w:w="1276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采购方联系联系方式</w:t>
                  </w: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16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04" w:type="dxa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2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16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拟上架货物商品清单</w:t>
            </w:r>
          </w:p>
        </w:tc>
        <w:tc>
          <w:tcPr>
            <w:tcW w:w="7476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请以附件形式提交，提供信息要求如下：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商品名称、规格、型号、单价、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折扣率、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品牌、生产厂家、授权级别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证明材料清单</w:t>
            </w:r>
          </w:p>
        </w:tc>
        <w:tc>
          <w:tcPr>
            <w:tcW w:w="7476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请列出您能提供的证明材料清单：(复印件盖公章）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1、《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》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其他需要说明的事项</w:t>
            </w:r>
          </w:p>
        </w:tc>
        <w:tc>
          <w:tcPr>
            <w:tcW w:w="7476" w:type="dxa"/>
            <w:gridSpan w:val="3"/>
          </w:tcPr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606" w:type="dxa"/>
            <w:gridSpan w:val="4"/>
            <w:vAlign w:val="center"/>
          </w:tcPr>
          <w:p>
            <w:pPr>
              <w:adjustRightInd w:val="0"/>
              <w:snapToGrid w:val="0"/>
              <w:ind w:firstLine="315" w:firstLineChars="150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本公司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保证向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宁波大学科学技术学院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提供的上述证明文件或其他相关证明真实、合法、准确、有效，并保证申请在云采购平台上经营的商品拥有合法销售权，并对其商品质量及商品合法性独立承担全部法律责任。同意遵守云采购平台入驻规范及向其支付指定的运行维护</w:t>
            </w:r>
            <w:r>
              <w:rPr>
                <w:rFonts w:ascii="微软雅黑" w:hAnsi="微软雅黑" w:eastAsia="微软雅黑"/>
                <w:color w:val="000000"/>
                <w:szCs w:val="21"/>
              </w:rPr>
              <w:t>服务费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。</w:t>
            </w:r>
          </w:p>
          <w:p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单位名称（盖章）：</w:t>
            </w:r>
          </w:p>
          <w:p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授权代表签字：</w:t>
            </w:r>
          </w:p>
          <w:p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申请日期：</w:t>
            </w:r>
          </w:p>
          <w:p>
            <w:pPr>
              <w:adjustRightInd w:val="0"/>
              <w:snapToGrid w:val="0"/>
              <w:ind w:firstLine="4676" w:firstLineChars="2227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4"/>
            <w:shd w:val="clear" w:color="auto" w:fill="B8CCE4" w:themeFill="accent1" w:themeFillTint="66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审核意见栏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9606" w:type="dxa"/>
            <w:gridSpan w:val="4"/>
          </w:tcPr>
          <w:p>
            <w:pPr>
              <w:adjustRightInd w:val="0"/>
              <w:snapToGrid w:val="0"/>
              <w:ind w:firstLine="210" w:firstLineChars="1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南京明德商服信息技术有限公司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6" w:type="dxa"/>
            <w:gridSpan w:val="4"/>
            <w:tcBorders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审批意见栏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606" w:type="dxa"/>
            <w:gridSpan w:val="4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ind w:firstLine="210" w:firstLineChars="100"/>
              <w:rPr>
                <w:rFonts w:hint="eastAsia"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宁波大学科学技术学院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  <w:lang w:val="en-US" w:eastAsia="zh-CN"/>
              </w:rPr>
              <w:t>资产与实验室管理部/采购与招投标中心：</w:t>
            </w:r>
          </w:p>
        </w:tc>
      </w:tr>
    </w:tbl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Cs w:val="21"/>
        </w:rPr>
        <w:t>附：宁波大学科学技术学院云采购平台商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kern w:val="0"/>
          <w:szCs w:val="21"/>
        </w:rPr>
        <w:t>品品目说明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tbl>
      <w:tblPr>
        <w:tblStyle w:val="9"/>
        <w:tblW w:w="102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99"/>
        <w:gridCol w:w="796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6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品目号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服务名称</w:t>
            </w:r>
          </w:p>
        </w:tc>
        <w:tc>
          <w:tcPr>
            <w:tcW w:w="7965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服务需求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5" w:type="dxa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低值设备、仪器、仪表、教具、器械</w:t>
            </w:r>
          </w:p>
        </w:tc>
        <w:tc>
          <w:tcPr>
            <w:tcW w:w="796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包括各类测量仪器仪表，如传感器、位移计、流量计、万用表、交直流电压表、交直流电流表、毫伏表、应变仪、温控仪、温湿度计、声级计、照度计、计数器、回弹仪、位移振幅测量仪、测力计、电桥、水准仪、应变仪、各类天平等；各类实验仪器仪表，如电动搅拌器、小型电炉、蠕动泵、阀、水浴锅、马弗炉、离心机、电机、直流电源、交流电源、功率放大器、信号发生器、示波器、双筒望远镜、防护镜、生物显微镜、</w:t>
            </w:r>
            <w:r>
              <w:fldChar w:fldCharType="begin"/>
            </w:r>
            <w:r>
              <w:instrText xml:space="preserve"> HYPERLINK "https://list.jd.com/list.html?cat=9192,9197,12188" \t "_blank" </w:instrText>
            </w:r>
            <w:r>
              <w:fldChar w:fldCharType="separate"/>
            </w:r>
            <w:r>
              <w:rPr>
                <w:kern w:val="0"/>
                <w:szCs w:val="21"/>
              </w:rPr>
              <w:t>制氧机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"https://list.jd.com/list.html?cat=9192,9197,13892" \t "_blank" </w:instrText>
            </w:r>
            <w:r>
              <w:fldChar w:fldCharType="separate"/>
            </w:r>
            <w:r>
              <w:rPr>
                <w:kern w:val="0"/>
                <w:szCs w:val="21"/>
              </w:rPr>
              <w:t>呼吸机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"https://list.jd.com/list.html?cat=9192,9197,12593" \t "_blank" </w:instrText>
            </w:r>
            <w:r>
              <w:fldChar w:fldCharType="separate"/>
            </w:r>
            <w:r>
              <w:rPr>
                <w:kern w:val="0"/>
                <w:szCs w:val="21"/>
              </w:rPr>
              <w:t>雾化器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"https://list.jd.com/list.html?cat=9192,9197,12594" \t "_blank" </w:instrText>
            </w:r>
            <w:r>
              <w:fldChar w:fldCharType="separate"/>
            </w:r>
            <w:r>
              <w:rPr>
                <w:rStyle w:val="13"/>
                <w:color w:val="auto"/>
                <w:kern w:val="0"/>
              </w:rPr>
              <w:t>助听器</w:t>
            </w:r>
            <w:r>
              <w:rPr>
                <w:rStyle w:val="13"/>
                <w:color w:val="auto"/>
                <w:kern w:val="0"/>
              </w:rPr>
              <w:fldChar w:fldCharType="end"/>
            </w:r>
            <w:r>
              <w:rPr>
                <w:kern w:val="0"/>
                <w:szCs w:val="21"/>
              </w:rPr>
              <w:t>、摇床/振荡器、混匀仪、离心机、均质分散机、旋转蒸发仪、分光光度计、磁力搅拌器、洗耳球、</w:t>
            </w:r>
            <w:r>
              <w:fldChar w:fldCharType="begin"/>
            </w:r>
            <w:r>
              <w:instrText xml:space="preserve"> HYPERLINK "https://list.jd.com/list.html?cat=9192,9197,12189" \t "_blank" </w:instrText>
            </w:r>
            <w:r>
              <w:fldChar w:fldCharType="separate"/>
            </w:r>
            <w:r>
              <w:rPr>
                <w:rStyle w:val="13"/>
                <w:color w:val="auto"/>
                <w:kern w:val="0"/>
              </w:rPr>
              <w:t>血压计</w:t>
            </w:r>
            <w:r>
              <w:rPr>
                <w:rStyle w:val="13"/>
                <w:color w:val="auto"/>
                <w:kern w:val="0"/>
              </w:rPr>
              <w:fldChar w:fldCharType="end"/>
            </w:r>
            <w:r>
              <w:rPr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"https://list.jd.com/list.html?cat=9192,9197,12187" \t "_blank" </w:instrText>
            </w:r>
            <w:r>
              <w:fldChar w:fldCharType="separate"/>
            </w:r>
            <w:r>
              <w:rPr>
                <w:rStyle w:val="13"/>
                <w:color w:val="auto"/>
                <w:kern w:val="0"/>
              </w:rPr>
              <w:t>血糖仪</w:t>
            </w:r>
            <w:r>
              <w:rPr>
                <w:rStyle w:val="13"/>
                <w:color w:val="auto"/>
                <w:kern w:val="0"/>
              </w:rPr>
              <w:fldChar w:fldCharType="end"/>
            </w:r>
            <w:r>
              <w:rPr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"https://list.jd.com/list.html?cat=9192,9197,12587" \t "_blank" </w:instrText>
            </w:r>
            <w:r>
              <w:fldChar w:fldCharType="separate"/>
            </w:r>
            <w:r>
              <w:rPr>
                <w:rStyle w:val="13"/>
                <w:color w:val="auto"/>
                <w:kern w:val="0"/>
              </w:rPr>
              <w:t>血氧仪</w:t>
            </w:r>
            <w:r>
              <w:rPr>
                <w:rStyle w:val="13"/>
                <w:color w:val="auto"/>
                <w:kern w:val="0"/>
              </w:rPr>
              <w:fldChar w:fldCharType="end"/>
            </w:r>
            <w:r>
              <w:rPr>
                <w:kern w:val="0"/>
                <w:szCs w:val="21"/>
              </w:rPr>
              <w:t>、</w:t>
            </w:r>
            <w:r>
              <w:fldChar w:fldCharType="begin"/>
            </w:r>
            <w:r>
              <w:instrText xml:space="preserve"> HYPERLINK "https://list.jd.com/list.html?cat=9192,9197,12588" \t "_blank" </w:instrText>
            </w:r>
            <w:r>
              <w:fldChar w:fldCharType="separate"/>
            </w:r>
            <w:r>
              <w:rPr>
                <w:rStyle w:val="13"/>
                <w:color w:val="auto"/>
                <w:kern w:val="0"/>
              </w:rPr>
              <w:t>体温计</w:t>
            </w:r>
            <w:r>
              <w:rPr>
                <w:rStyle w:val="13"/>
                <w:color w:val="auto"/>
                <w:kern w:val="0"/>
              </w:rPr>
              <w:fldChar w:fldCharType="end"/>
            </w:r>
            <w:r>
              <w:rPr>
                <w:kern w:val="0"/>
                <w:szCs w:val="21"/>
              </w:rPr>
              <w:t>等；其他低值教学科研生活设备，如考勤机、点钞/验钞机、路由器、交换机、喊话器、吸尘/清洗器、空气净化器、加湿器、电风扇、除湿机、取暖电器、移动电源、电吹风、微波炉、电压力锅、电磁炉、电子秤/厨房秤、电池/充电器、</w:t>
            </w:r>
            <w:r>
              <w:fldChar w:fldCharType="begin"/>
            </w:r>
            <w:r>
              <w:instrText xml:space="preserve"> HYPERLINK "https://list.jd.com/list.html?cat=9192,9197,12589" \t "_blank" </w:instrText>
            </w:r>
            <w:r>
              <w:fldChar w:fldCharType="separate"/>
            </w:r>
            <w:r>
              <w:rPr>
                <w:rStyle w:val="13"/>
                <w:color w:val="auto"/>
                <w:kern w:val="0"/>
              </w:rPr>
              <w:t>体重秤</w:t>
            </w:r>
            <w:r>
              <w:rPr>
                <w:rStyle w:val="13"/>
                <w:color w:val="auto"/>
                <w:kern w:val="0"/>
              </w:rPr>
              <w:fldChar w:fldCharType="end"/>
            </w:r>
            <w:r>
              <w:rPr>
                <w:kern w:val="0"/>
                <w:szCs w:val="21"/>
              </w:rPr>
              <w:t>、货架、线缆、洗地机、同步电机、换气扇、吸尘器、厨房小电器等。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【】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565" w:type="dxa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低值工具、量具、器皿、标本模型</w:t>
            </w:r>
          </w:p>
        </w:tc>
        <w:tc>
          <w:tcPr>
            <w:tcW w:w="796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包括各类电动工具，如电锤、电锯、电刨、电钻、扳手等；各类手动工具，如工具箱、活动扳手、网络压接钳、电工老虎钳、电烙铁、螺丝刀、树枝剪、榔头、刷子等；其他工具，如各类门锁柜锁、各类型玻璃、各类拉手、各型号合页、安全帽、皮塞、各类型号螺丝及钉子、pvc胶水、云石胶、铲刀、金属抱夹、拖把斗、砂轮片、焊条、滑轮、木工板、箱扣、窗扣、纱窗布、3×4木档、夹板、杉木工板、抽屉锁、铁丝 (12)、白油、50枪钉、厕所锁扣、抽屉锁扣、铜钥匙坯、蚊帐钩、6寸插销、闭门器、纱布、衣架脚、矿棉板、扣子、气窗摇杆、窗帘杆、切割片、2寸铁管、2寸伸缩节、5烫头、轨道、地弹簧、铜接头、大搁板、松木生态板、卫生脚、卫生角、600磨砂纸、塑钢皮条、抽屉锁、墙纸等；各类量具，如卡尺、千分尺、千分表、量规等；各类标本模型教具，如各种试验模型、岩石标本、投影配件、画具画材、绘图工具、其他工具等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【】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5" w:type="dxa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三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低值文艺用品、体育用品</w:t>
            </w:r>
          </w:p>
        </w:tc>
        <w:tc>
          <w:tcPr>
            <w:tcW w:w="796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包括各类文艺用品，如各种舞台用具、舞台化装品、舞台服装、音箱/音响、乐器、话筒、功放、收录/音机、音响配件等；各类体育用品，如各种运动服装、健身服装、登山装备、运动鞋类、球类、器铃类、抬架类、拍网类、健身器具等运动健身用品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【】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5" w:type="dxa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四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低值行政办公设备、劳保用品</w:t>
            </w:r>
          </w:p>
        </w:tc>
        <w:tc>
          <w:tcPr>
            <w:tcW w:w="796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包括各类办公设备，如各种、装订/封装机、电话机、移动硬盘、U盘、存储卡、读卡器、网卡、网络配件、耳机、刻录碟片/附件、饮水机、台灯、插头、插座、电脑外设产品、键盘、鼠标、过滤壶、滤芯、USB小风扇、毛绒玩具、蚊香托盘、打火机等；各类办公文具耗材，如硒鼓/墨粉、墨盒、数据线、本册/便签、计算器、笔类、各类纸制品（复印纸须有宁波政府定点供应商资格）、色带、电脑包等；其他电气类，如电扇电机、电扇腰带、电扇扇叶、LED灯具及配件、普通灯具及配件、电线电缆、漏电保护开关、交流接触器、插座及配件、开关及配件、线槽板等，其他管道类，如各类管道材料、卫生洁具及零配件、玻璃夹、玻璃软吸、钢化玻璃地弹簧、氟利昂(大)、氟利昂(小)、快干水泥等；各类劳保用品，如各种一次性用品、纸品湿巾、雨伞雨具、层架/置物架、家用梯、口罩、防护口罩、安全帽、毛巾、手套、劳保鞋、包装带、垃圾袋、毯类、清洁洗涤用品、塑料存储箱、耳罩、水壶、小推车、周转箱、铁皮洗水壶、加绒雨鞋、酒店式用品用具、清卫工具手套、口罩、大型垃圾桶及垃圾袋、抹布、竹扫把、工厂酒店专用长拖把、胶桶、竹箩筐、擦玻璃器、疏通工具、卫生间用具及清理用具等、除油剂、专业卫生间及厨房除臭剂等、爱心伞、宣传环保袋等。</w:t>
            </w:r>
          </w:p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消防安全类，如灭火器、消防水带、消防水枪、消防软管卷盘、消火栓、消防应急灯具、火灾逃生面具、防火涂料、消防接扣、救援应急探照灯、气体灭火控制器、消防警铃、电气火灾报警系统、水流指示器、泡沫比例混合器、固定高效自动喷洒灭火装置、干粉自动灭火装置、消防泵、喷淋泵、稳压泵、气压罐、防火门、防火窗、防火玻璃、消防装备、防毒面具、救生器材、灭火毯、安全绳、自救呼吸器、其他家用消防产品等。</w:t>
            </w:r>
          </w:p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绿植类，绿植盆栽、多肉植物、花卉、绿植苗木、微景观、花盆、花器、营养土、园艺肥料、园艺工具、花草林木类种球、花瓶、园艺药剂、基质/营养土、花盆花器、除草剂、杀菌剂、杀虫剂、植物生长调节剂、氮/磷/钾肥、有机肥等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【】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65" w:type="dxa"/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五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b/>
                <w:kern w:val="0"/>
                <w:szCs w:val="21"/>
              </w:rPr>
              <w:t>生物化学试剂及实验室基础耗材（列入国家易制毒易燃易爆品、精神药品、麻醉药品的除外）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796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生物化学试剂主要包括分子生物学试剂，如DNA限制性内切酶、DNA聚合酶、PCR及荧光定量PCR试剂、DNA或RNA修饰酶、DNA或RNA分子量标准品、克隆与表达试剂、菌种、感受态细胞及其制备试剂、细菌培养基、核酸抽提及纯化试剂、文库构建试剂、RNA研究试剂、病毒表达、表观遗传学研究试剂、核酸电泳相关试剂；免疫学试剂，如ELISA试剂盒、一抗、二抗、流式抗体、抗原；细胞生物学试剂，如动物血清制品、细胞因子与生长因子、细胞培养基、干细胞研究相关试剂、细胞分析测定试剂盒、氧化应激与细胞损伤测定试剂盒；蛋白研究试剂，如蛋白质表达系统、细胞裂解及蛋白质纯化试剂、蛋白修饰酶及辅助试剂、糖生物学及蛋白质工具、蛋白质成品、蛋白电泳相关试剂；非管制类基础化学品，如无机酸、无机碱、无机盐、有机碱、有机酸、氧化物和过氧化物、碳化物、卤化物、硅化物和硅酸盐、有机溶剂；非管制类催化剂及助剂，如分子筛、工业催化剂、贵金属催化剂、合成材料用催化剂、无机化工用催化剂、有机化工用催化剂、电子工业用化学助剂、金属加工助剂、偶联剂、前处理剂、热稳定剂、水处理剂、塑料橡胶助剂、手性化合物；非管制类天然产物及提取物，如植物提取物、动物提取物、天然色素等；其他，如机油、农药、化肥、草籽、苗木、松香油、草酸、工业盐、草包、煤油。</w:t>
            </w:r>
          </w:p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实验室基础耗材主要包括通用玻璃耗材，如烧杯、玻璃培养皿、量筒、漏斗、石英比色皿、干燥器、塞子、接头、玛瑙研钵、表面皿、胖肚移液管、玻璃研钵、冷凝管、层析柱、刻度吸管、滴定管、酒精灯、玻璃瓶及盖垫；通用塑料耗材，如细口大瓶、细口大瓶附件、塑料量筒、塑料容量瓶、塑料烧杯、桶罐、塑料广口瓶、塑料滴瓶、塑料洗瓶、塑料分液器、塑料干燥器、塑料滴定管、胶管、塑料漏斗、移液管、浸泡桶；生物化学耗材，如移液器、细胞培养耗材、细胞培养耗材、组织病理学耗材、液体处理耗材、过滤耗材、色谱耗材、微生物耗材、电泳耗材；电子元器件，如处理器及微控制器、逻辑芯片、电源芯片、被动元器件、存储器、放大器/线性器件、电阻、电容、二极管、晶体管；光学研究耗材，如光学元件、光学平台、光纤、半导体发光器件、无源器件、探测器、调制器、功能模块、测试仪表、激光器；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【】</w:t>
            </w:r>
          </w:p>
        </w:tc>
      </w:tr>
    </w:tbl>
    <w:p>
      <w:pPr>
        <w:snapToGrid w:val="0"/>
        <w:jc w:val="both"/>
        <w:rPr>
          <w:rFonts w:hint="eastAsia"/>
          <w:kern w:val="0"/>
          <w:szCs w:val="21"/>
        </w:rPr>
      </w:pPr>
    </w:p>
    <w:sectPr>
      <w:footerReference r:id="rId3" w:type="default"/>
      <w:pgSz w:w="11906" w:h="16838"/>
      <w:pgMar w:top="99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895079"/>
    </w:sdtPr>
    <w:sdtContent>
      <w:sdt>
        <w:sdtPr>
          <w:id w:val="98381352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MGRhNzFhNDFhYjg2MTkwYTFkZmMxZTJlNWU0MTEifQ=="/>
  </w:docVars>
  <w:rsids>
    <w:rsidRoot w:val="0034773D"/>
    <w:rsid w:val="00011F4A"/>
    <w:rsid w:val="00040187"/>
    <w:rsid w:val="00064DB9"/>
    <w:rsid w:val="00076F83"/>
    <w:rsid w:val="000E10C0"/>
    <w:rsid w:val="001734C0"/>
    <w:rsid w:val="001A12B9"/>
    <w:rsid w:val="001A7E2C"/>
    <w:rsid w:val="00215973"/>
    <w:rsid w:val="002250EF"/>
    <w:rsid w:val="00227837"/>
    <w:rsid w:val="002B04E0"/>
    <w:rsid w:val="002D10DF"/>
    <w:rsid w:val="003314A3"/>
    <w:rsid w:val="00341CF4"/>
    <w:rsid w:val="0034773D"/>
    <w:rsid w:val="00360857"/>
    <w:rsid w:val="00425F36"/>
    <w:rsid w:val="00446E03"/>
    <w:rsid w:val="004475B9"/>
    <w:rsid w:val="00470BBB"/>
    <w:rsid w:val="00487136"/>
    <w:rsid w:val="004A2D14"/>
    <w:rsid w:val="004B6929"/>
    <w:rsid w:val="004D643B"/>
    <w:rsid w:val="004E2A3E"/>
    <w:rsid w:val="004F2D32"/>
    <w:rsid w:val="0050005C"/>
    <w:rsid w:val="00547552"/>
    <w:rsid w:val="005670A7"/>
    <w:rsid w:val="00582344"/>
    <w:rsid w:val="005A4C78"/>
    <w:rsid w:val="005D4121"/>
    <w:rsid w:val="005E07F7"/>
    <w:rsid w:val="005F0380"/>
    <w:rsid w:val="006473F4"/>
    <w:rsid w:val="006A2084"/>
    <w:rsid w:val="006A6FC5"/>
    <w:rsid w:val="006C7484"/>
    <w:rsid w:val="00720727"/>
    <w:rsid w:val="00764041"/>
    <w:rsid w:val="00776BFE"/>
    <w:rsid w:val="007911C2"/>
    <w:rsid w:val="00797C40"/>
    <w:rsid w:val="007B665A"/>
    <w:rsid w:val="007C1BBC"/>
    <w:rsid w:val="007D621B"/>
    <w:rsid w:val="007D7D54"/>
    <w:rsid w:val="00831F61"/>
    <w:rsid w:val="00872B9F"/>
    <w:rsid w:val="008856AC"/>
    <w:rsid w:val="00894F95"/>
    <w:rsid w:val="00897A51"/>
    <w:rsid w:val="008D504C"/>
    <w:rsid w:val="0092318F"/>
    <w:rsid w:val="00964991"/>
    <w:rsid w:val="00995D83"/>
    <w:rsid w:val="009B6173"/>
    <w:rsid w:val="009E64BD"/>
    <w:rsid w:val="00A40EC0"/>
    <w:rsid w:val="00A579EF"/>
    <w:rsid w:val="00A736D6"/>
    <w:rsid w:val="00AB4A93"/>
    <w:rsid w:val="00AD7092"/>
    <w:rsid w:val="00AE03B9"/>
    <w:rsid w:val="00AF2857"/>
    <w:rsid w:val="00B0314E"/>
    <w:rsid w:val="00B16F98"/>
    <w:rsid w:val="00B77794"/>
    <w:rsid w:val="00BA7424"/>
    <w:rsid w:val="00BB139B"/>
    <w:rsid w:val="00C00DA5"/>
    <w:rsid w:val="00C56257"/>
    <w:rsid w:val="00C6221E"/>
    <w:rsid w:val="00CB175E"/>
    <w:rsid w:val="00CE237D"/>
    <w:rsid w:val="00D71110"/>
    <w:rsid w:val="00D9715A"/>
    <w:rsid w:val="00DB7A55"/>
    <w:rsid w:val="00DD1F95"/>
    <w:rsid w:val="00EA56CE"/>
    <w:rsid w:val="00EF0366"/>
    <w:rsid w:val="00F069F2"/>
    <w:rsid w:val="00F0707D"/>
    <w:rsid w:val="00F3510C"/>
    <w:rsid w:val="00F40D8A"/>
    <w:rsid w:val="00F445E3"/>
    <w:rsid w:val="00F533A1"/>
    <w:rsid w:val="00FA13FE"/>
    <w:rsid w:val="017B5F06"/>
    <w:rsid w:val="01AE15BA"/>
    <w:rsid w:val="02011E4C"/>
    <w:rsid w:val="049569DB"/>
    <w:rsid w:val="0767468B"/>
    <w:rsid w:val="09AF2373"/>
    <w:rsid w:val="0BB155AA"/>
    <w:rsid w:val="0C34090D"/>
    <w:rsid w:val="16034738"/>
    <w:rsid w:val="177F4F9C"/>
    <w:rsid w:val="19FB3199"/>
    <w:rsid w:val="1ADA6B24"/>
    <w:rsid w:val="1F0619FC"/>
    <w:rsid w:val="1F787DA2"/>
    <w:rsid w:val="21D77667"/>
    <w:rsid w:val="22715068"/>
    <w:rsid w:val="24181EF1"/>
    <w:rsid w:val="2B5674EA"/>
    <w:rsid w:val="307E516B"/>
    <w:rsid w:val="30FF1B2D"/>
    <w:rsid w:val="3167319C"/>
    <w:rsid w:val="32D57A9A"/>
    <w:rsid w:val="33046BC9"/>
    <w:rsid w:val="335D1FE1"/>
    <w:rsid w:val="36BE2D60"/>
    <w:rsid w:val="378E3E3B"/>
    <w:rsid w:val="40AB5F66"/>
    <w:rsid w:val="426F3B88"/>
    <w:rsid w:val="4CBB5786"/>
    <w:rsid w:val="4D1E6D18"/>
    <w:rsid w:val="4E2079A1"/>
    <w:rsid w:val="50750766"/>
    <w:rsid w:val="51255084"/>
    <w:rsid w:val="520C1993"/>
    <w:rsid w:val="54403678"/>
    <w:rsid w:val="545214FD"/>
    <w:rsid w:val="545A3C3A"/>
    <w:rsid w:val="55B97D39"/>
    <w:rsid w:val="55D87B28"/>
    <w:rsid w:val="562A2704"/>
    <w:rsid w:val="574F7643"/>
    <w:rsid w:val="59244CD5"/>
    <w:rsid w:val="5A785436"/>
    <w:rsid w:val="5B872E90"/>
    <w:rsid w:val="5D8B0800"/>
    <w:rsid w:val="5F986A14"/>
    <w:rsid w:val="60777BA5"/>
    <w:rsid w:val="618C081A"/>
    <w:rsid w:val="61C15914"/>
    <w:rsid w:val="662743F8"/>
    <w:rsid w:val="66B915CD"/>
    <w:rsid w:val="67186420"/>
    <w:rsid w:val="67392659"/>
    <w:rsid w:val="69DB32EB"/>
    <w:rsid w:val="6B0B30BB"/>
    <w:rsid w:val="6C62044F"/>
    <w:rsid w:val="6F082E2C"/>
    <w:rsid w:val="6F87659E"/>
    <w:rsid w:val="70073637"/>
    <w:rsid w:val="71E80C9B"/>
    <w:rsid w:val="74C040EA"/>
    <w:rsid w:val="793F363C"/>
    <w:rsid w:val="79F61C2E"/>
    <w:rsid w:val="7B537186"/>
    <w:rsid w:val="7DE93180"/>
    <w:rsid w:val="7F6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20"/>
    <w:qFormat/>
    <w:uiPriority w:val="0"/>
    <w:pPr>
      <w:spacing w:beforeLines="50" w:afterLines="50" w:line="400" w:lineRule="exact"/>
    </w:pPr>
    <w:rPr>
      <w:rFonts w:ascii="宋体" w:hAnsi="Times New Roman" w:eastAsia="宋体" w:cs="Times New Roman"/>
      <w:sz w:val="24"/>
      <w:szCs w:val="24"/>
    </w:r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paragraph" w:customStyle="1" w:styleId="19">
    <w:name w:val="timelin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纯文本 字符"/>
    <w:link w:val="3"/>
    <w:autoRedefine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21">
    <w:name w:val="纯文本 字符1"/>
    <w:basedOn w:val="11"/>
    <w:autoRedefine/>
    <w:semiHidden/>
    <w:qFormat/>
    <w:uiPriority w:val="99"/>
    <w:rPr>
      <w:rFonts w:hAnsi="Courier New" w:cs="Courier New" w:asciiTheme="minorEastAsia"/>
    </w:rPr>
  </w:style>
  <w:style w:type="character" w:customStyle="1" w:styleId="22">
    <w:name w:val="批注文字 字符"/>
    <w:basedOn w:val="11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1B57-A9B0-422F-A1BA-87D0A8A4DB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3822</Words>
  <Characters>3869</Characters>
  <Lines>20</Lines>
  <Paragraphs>5</Paragraphs>
  <TotalTime>7</TotalTime>
  <ScaleCrop>false</ScaleCrop>
  <LinksUpToDate>false</LinksUpToDate>
  <CharactersWithSpaces>4074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2020-03-26T05:57:00Z</dcterms:created>
  <dc:creator>gelei</dc:creator>
  <cp:lastModifiedBy>如青春一般瘦</cp:lastModifiedBy>
  <dcterms:modified xsi:type="dcterms:W3CDTF">2024-05-16T02:29:17Z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E35FFE09A89F4458803AED7CF446927B</vt:lpwstr>
  </property>
</Properties>
</file>